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7440" w14:textId="3E9318C1" w:rsidR="00B62EA1" w:rsidRDefault="00B62EA1" w:rsidP="00B62EA1">
      <w:pPr>
        <w:bidi/>
        <w:spacing w:line="360" w:lineRule="auto"/>
        <w:jc w:val="center"/>
        <w:rPr>
          <w:b/>
          <w:bCs/>
          <w:lang w:bidi="fa-IR"/>
        </w:rPr>
      </w:pPr>
      <w:r>
        <w:rPr>
          <w:noProof/>
        </w:rPr>
        <w:drawing>
          <wp:inline distT="0" distB="0" distL="0" distR="0" wp14:anchorId="70978EB4" wp14:editId="73F5FA60">
            <wp:extent cx="1013460" cy="1074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74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A5B3F" w14:textId="77777777" w:rsidR="00B62EA1" w:rsidRDefault="00B62EA1" w:rsidP="00B62EA1">
      <w:pPr>
        <w:bidi/>
        <w:jc w:val="center"/>
        <w:rPr>
          <w:rFonts w:eastAsia="Times New Roman"/>
          <w:bCs/>
          <w:szCs w:val="24"/>
          <w:lang w:bidi="fa-IR"/>
        </w:rPr>
      </w:pPr>
      <w:r>
        <w:rPr>
          <w:rFonts w:eastAsia="Times New Roman" w:hint="cs"/>
          <w:bCs/>
          <w:szCs w:val="24"/>
          <w:rtl/>
          <w:lang w:bidi="fa-IR"/>
        </w:rPr>
        <w:t>دانشگاه علوم پزشكي و خدمات بهداشتي- درماني شهيد بهشتي</w:t>
      </w:r>
    </w:p>
    <w:p w14:paraId="456B48DE" w14:textId="77777777" w:rsidR="00B62EA1" w:rsidRDefault="00B62EA1" w:rsidP="00B62EA1">
      <w:pPr>
        <w:bidi/>
        <w:jc w:val="center"/>
        <w:rPr>
          <w:rFonts w:eastAsia="Times New Roman" w:hint="cs"/>
          <w:bCs/>
          <w:szCs w:val="24"/>
          <w:rtl/>
          <w:lang w:bidi="fa-IR"/>
        </w:rPr>
      </w:pPr>
      <w:r>
        <w:rPr>
          <w:rFonts w:eastAsia="Times New Roman" w:hint="cs"/>
          <w:bCs/>
          <w:szCs w:val="24"/>
          <w:rtl/>
          <w:lang w:bidi="fa-IR"/>
        </w:rPr>
        <w:t>دانشكده علوم تغذيه و صنايع غذايي</w:t>
      </w:r>
    </w:p>
    <w:p w14:paraId="3FD74ED8" w14:textId="77777777" w:rsidR="00B62EA1" w:rsidRDefault="00B62EA1" w:rsidP="00B62EA1">
      <w:pPr>
        <w:bidi/>
        <w:jc w:val="center"/>
        <w:rPr>
          <w:rFonts w:eastAsia="Times New Roman" w:hint="cs"/>
          <w:bCs/>
          <w:szCs w:val="24"/>
          <w:rtl/>
          <w:lang w:bidi="fa-IR"/>
        </w:rPr>
      </w:pPr>
      <w:r>
        <w:rPr>
          <w:rFonts w:eastAsia="Times New Roman" w:hint="cs"/>
          <w:bCs/>
          <w:szCs w:val="24"/>
          <w:rtl/>
          <w:lang w:bidi="fa-IR"/>
        </w:rPr>
        <w:t>گروه تغذیه بالینی</w:t>
      </w:r>
    </w:p>
    <w:p w14:paraId="41F87CB3" w14:textId="77777777" w:rsidR="00B62EA1" w:rsidRDefault="00B62EA1" w:rsidP="00B62EA1">
      <w:pPr>
        <w:bidi/>
        <w:spacing w:line="360" w:lineRule="auto"/>
        <w:jc w:val="center"/>
        <w:rPr>
          <w:rFonts w:eastAsia="Times New Roman"/>
          <w:bCs/>
          <w:szCs w:val="24"/>
          <w:lang w:bidi="fa-IR"/>
        </w:rPr>
      </w:pPr>
    </w:p>
    <w:p w14:paraId="74D4BCC2" w14:textId="77777777" w:rsidR="00B62EA1" w:rsidRDefault="00B62EA1" w:rsidP="00B62EA1">
      <w:pPr>
        <w:bidi/>
        <w:spacing w:line="360" w:lineRule="auto"/>
        <w:jc w:val="center"/>
        <w:rPr>
          <w:rFonts w:eastAsia="Times New Roman" w:hint="cs"/>
          <w:bCs/>
          <w:sz w:val="26"/>
          <w:szCs w:val="26"/>
          <w:rtl/>
          <w:lang w:bidi="fa-IR"/>
        </w:rPr>
      </w:pPr>
      <w:r>
        <w:rPr>
          <w:rFonts w:eastAsia="Times New Roman" w:hint="cs"/>
          <w:bCs/>
          <w:sz w:val="26"/>
          <w:szCs w:val="26"/>
          <w:rtl/>
          <w:lang w:bidi="fa-IR"/>
        </w:rPr>
        <w:t>پایان نامه کارشناسی ارشد رشته تغذیه بالینی</w:t>
      </w:r>
    </w:p>
    <w:p w14:paraId="205A6799" w14:textId="77777777" w:rsidR="00B62EA1" w:rsidRDefault="00B62EA1" w:rsidP="00B62EA1">
      <w:pPr>
        <w:bidi/>
        <w:spacing w:line="360" w:lineRule="auto"/>
        <w:jc w:val="center"/>
        <w:rPr>
          <w:rFonts w:cs="B Titr" w:hint="cs"/>
          <w:sz w:val="28"/>
          <w:szCs w:val="32"/>
          <w:rtl/>
        </w:rPr>
      </w:pPr>
      <w:r>
        <w:rPr>
          <w:rFonts w:cs="B Titr" w:hint="cs"/>
          <w:sz w:val="28"/>
          <w:szCs w:val="32"/>
          <w:rtl/>
          <w:lang w:bidi="fa-IR"/>
        </w:rPr>
        <w:t>بررسی عوامل خطر تن سنجی و غذایی مرتبط با پیشرفت کبد چرب در بیماران مبتلا به دیابت نوع 2</w:t>
      </w:r>
    </w:p>
    <w:p w14:paraId="47451BA5" w14:textId="77777777" w:rsidR="00B62EA1" w:rsidRDefault="00B62EA1" w:rsidP="00B62EA1">
      <w:pPr>
        <w:bidi/>
        <w:spacing w:line="360" w:lineRule="auto"/>
        <w:jc w:val="center"/>
        <w:rPr>
          <w:rFonts w:eastAsia="Times New Roman" w:hint="cs"/>
          <w:bCs/>
          <w:sz w:val="26"/>
          <w:szCs w:val="26"/>
          <w:rtl/>
          <w:lang w:bidi="fa-IR"/>
        </w:rPr>
      </w:pPr>
    </w:p>
    <w:p w14:paraId="41425239" w14:textId="77777777" w:rsidR="00B62EA1" w:rsidRDefault="00B62EA1" w:rsidP="00B62EA1">
      <w:pPr>
        <w:bidi/>
        <w:spacing w:line="360" w:lineRule="auto"/>
        <w:jc w:val="center"/>
        <w:rPr>
          <w:rFonts w:eastAsia="Times New Roman" w:cs="B Titr"/>
          <w:bCs/>
          <w:sz w:val="28"/>
          <w:lang w:bidi="fa-IR"/>
        </w:rPr>
      </w:pPr>
      <w:r>
        <w:rPr>
          <w:rFonts w:eastAsia="Times New Roman" w:cs="B Titr" w:hint="cs"/>
          <w:bCs/>
          <w:sz w:val="28"/>
          <w:rtl/>
          <w:lang w:bidi="fa-IR"/>
        </w:rPr>
        <w:t xml:space="preserve">نگارنده: </w:t>
      </w:r>
    </w:p>
    <w:p w14:paraId="285920E9" w14:textId="77777777" w:rsidR="00B62EA1" w:rsidRDefault="00B62EA1" w:rsidP="00B62EA1">
      <w:pPr>
        <w:bidi/>
        <w:spacing w:line="360" w:lineRule="auto"/>
        <w:jc w:val="center"/>
        <w:rPr>
          <w:rFonts w:eastAsia="Times New Roman" w:cs="B Titr" w:hint="cs"/>
          <w:bCs/>
          <w:sz w:val="28"/>
          <w:rtl/>
          <w:lang w:bidi="fa-IR"/>
        </w:rPr>
      </w:pPr>
      <w:r>
        <w:rPr>
          <w:rFonts w:eastAsia="Times New Roman" w:cs="B Titr" w:hint="cs"/>
          <w:bCs/>
          <w:sz w:val="28"/>
          <w:rtl/>
          <w:lang w:bidi="fa-IR"/>
        </w:rPr>
        <w:t>سمیرا سلطانیه</w:t>
      </w:r>
    </w:p>
    <w:p w14:paraId="7E505A11" w14:textId="77777777" w:rsidR="00B62EA1" w:rsidRDefault="00B62EA1" w:rsidP="00B62EA1">
      <w:pPr>
        <w:bidi/>
        <w:spacing w:line="360" w:lineRule="auto"/>
        <w:jc w:val="center"/>
        <w:rPr>
          <w:rFonts w:eastAsia="Times New Roman" w:cs="B Titr" w:hint="cs"/>
          <w:sz w:val="28"/>
          <w:rtl/>
          <w:lang w:bidi="fa-IR"/>
        </w:rPr>
      </w:pPr>
    </w:p>
    <w:p w14:paraId="6B9C2CB1" w14:textId="77777777" w:rsidR="00B62EA1" w:rsidRDefault="00B62EA1" w:rsidP="00B62EA1">
      <w:pPr>
        <w:bidi/>
        <w:spacing w:line="360" w:lineRule="auto"/>
        <w:jc w:val="center"/>
        <w:rPr>
          <w:rFonts w:eastAsia="Times New Roman" w:cs="B Titr" w:hint="cs"/>
          <w:bCs/>
          <w:sz w:val="28"/>
          <w:rtl/>
          <w:lang w:bidi="fa-IR"/>
        </w:rPr>
      </w:pPr>
      <w:r>
        <w:rPr>
          <w:rFonts w:eastAsia="Times New Roman" w:cs="B Titr" w:hint="cs"/>
          <w:bCs/>
          <w:sz w:val="28"/>
          <w:rtl/>
          <w:lang w:bidi="fa-IR"/>
        </w:rPr>
        <w:t xml:space="preserve">استاد راهنما: </w:t>
      </w:r>
    </w:p>
    <w:p w14:paraId="616B7F81" w14:textId="77777777" w:rsidR="00B62EA1" w:rsidRDefault="00B62EA1" w:rsidP="00B62EA1">
      <w:pPr>
        <w:bidi/>
        <w:spacing w:line="360" w:lineRule="auto"/>
        <w:jc w:val="center"/>
        <w:rPr>
          <w:rFonts w:cs="B Titr" w:hint="cs"/>
          <w:b/>
          <w:bCs/>
          <w:sz w:val="28"/>
          <w:rtl/>
          <w:lang w:bidi="fa-IR"/>
        </w:rPr>
      </w:pPr>
      <w:r>
        <w:rPr>
          <w:rFonts w:cs="B Titr" w:hint="cs"/>
          <w:b/>
          <w:bCs/>
          <w:sz w:val="28"/>
          <w:rtl/>
          <w:lang w:bidi="fa-IR"/>
        </w:rPr>
        <w:t xml:space="preserve">دکتر آزیتا حکمت دوست </w:t>
      </w:r>
    </w:p>
    <w:p w14:paraId="740765C8" w14:textId="77777777" w:rsidR="00B62EA1" w:rsidRDefault="00B62EA1" w:rsidP="00B62EA1">
      <w:pPr>
        <w:bidi/>
        <w:spacing w:line="360" w:lineRule="auto"/>
        <w:jc w:val="center"/>
        <w:rPr>
          <w:rFonts w:cs="B Titr" w:hint="cs"/>
          <w:b/>
          <w:bCs/>
          <w:sz w:val="28"/>
          <w:rtl/>
          <w:lang w:bidi="fa-IR"/>
        </w:rPr>
      </w:pPr>
      <w:r>
        <w:rPr>
          <w:rFonts w:cs="B Titr" w:hint="cs"/>
          <w:b/>
          <w:bCs/>
          <w:sz w:val="28"/>
          <w:rtl/>
          <w:lang w:bidi="fa-IR"/>
        </w:rPr>
        <w:t>استاد مشاور:</w:t>
      </w:r>
    </w:p>
    <w:p w14:paraId="5AD89567" w14:textId="77777777" w:rsidR="00B62EA1" w:rsidRDefault="00B62EA1" w:rsidP="00B62EA1">
      <w:pPr>
        <w:bidi/>
        <w:spacing w:line="360" w:lineRule="auto"/>
        <w:jc w:val="center"/>
        <w:rPr>
          <w:rFonts w:cs="B Titr" w:hint="cs"/>
          <w:b/>
          <w:bCs/>
          <w:rtl/>
          <w:lang w:bidi="fa-IR"/>
        </w:rPr>
      </w:pPr>
      <w:r>
        <w:rPr>
          <w:rFonts w:cs="B Titr" w:hint="cs"/>
          <w:b/>
          <w:bCs/>
          <w:sz w:val="28"/>
          <w:rtl/>
          <w:lang w:bidi="fa-IR"/>
        </w:rPr>
        <w:t>دکتر فریبا علایی</w:t>
      </w:r>
    </w:p>
    <w:p w14:paraId="41E8720D" w14:textId="77777777" w:rsidR="00B62EA1" w:rsidRDefault="00B62EA1" w:rsidP="00B62EA1">
      <w:pPr>
        <w:bidi/>
        <w:spacing w:line="360" w:lineRule="auto"/>
        <w:jc w:val="center"/>
        <w:rPr>
          <w:rFonts w:hint="cs"/>
          <w:b/>
          <w:bCs/>
          <w:rtl/>
          <w:lang w:bidi="fa-IR"/>
        </w:rPr>
      </w:pPr>
    </w:p>
    <w:p w14:paraId="0D6C2A34" w14:textId="77777777" w:rsidR="00B62EA1" w:rsidRDefault="00B62EA1" w:rsidP="00B62EA1">
      <w:pPr>
        <w:jc w:val="center"/>
        <w:rPr>
          <w:rFonts w:eastAsia="Times New Roman" w:cs="B Titr" w:hint="cs"/>
          <w:sz w:val="22"/>
          <w:szCs w:val="22"/>
          <w:rtl/>
          <w:lang w:bidi="fa-IR"/>
        </w:rPr>
      </w:pPr>
      <w:r>
        <w:rPr>
          <w:rFonts w:eastAsia="Times New Roman" w:cs="B Titr" w:hint="cs"/>
          <w:sz w:val="22"/>
          <w:szCs w:val="22"/>
          <w:rtl/>
          <w:lang w:bidi="fa-IR"/>
        </w:rPr>
        <w:t>سال تحصیلی 1401</w:t>
      </w:r>
    </w:p>
    <w:p w14:paraId="1AD445EC" w14:textId="457CF45E" w:rsidR="000C30FF" w:rsidRDefault="000C30FF"/>
    <w:p w14:paraId="25A6646F" w14:textId="77777777" w:rsidR="00B62EA1" w:rsidRPr="000B434E" w:rsidRDefault="00B62EA1" w:rsidP="00B62EA1">
      <w:pPr>
        <w:bidi/>
        <w:rPr>
          <w:rFonts w:cs="B Titr"/>
          <w:b/>
          <w:bCs/>
          <w:sz w:val="32"/>
          <w:szCs w:val="32"/>
          <w:rtl/>
        </w:rPr>
      </w:pPr>
      <w:r w:rsidRPr="000B434E">
        <w:rPr>
          <w:rFonts w:cs="B Titr" w:hint="cs"/>
          <w:b/>
          <w:bCs/>
          <w:sz w:val="32"/>
          <w:szCs w:val="32"/>
          <w:rtl/>
        </w:rPr>
        <w:lastRenderedPageBreak/>
        <w:t>خلاصه فارسی</w:t>
      </w:r>
    </w:p>
    <w:p w14:paraId="7B67BA35" w14:textId="77777777" w:rsidR="00B62EA1" w:rsidRPr="00CF75ED" w:rsidRDefault="00B62EA1" w:rsidP="00B62EA1">
      <w:pPr>
        <w:bidi/>
        <w:rPr>
          <w:sz w:val="28"/>
          <w:rtl/>
        </w:rPr>
      </w:pPr>
    </w:p>
    <w:p w14:paraId="555F89D3" w14:textId="77777777" w:rsidR="00B62EA1" w:rsidRPr="00CF75ED" w:rsidRDefault="00B62EA1" w:rsidP="00B62EA1">
      <w:pPr>
        <w:bidi/>
        <w:spacing w:line="360" w:lineRule="auto"/>
        <w:jc w:val="both"/>
        <w:rPr>
          <w:rFonts w:asciiTheme="majorBidi" w:hAnsiTheme="majorBidi"/>
          <w:sz w:val="28"/>
          <w:lang w:bidi="fa-IR"/>
        </w:rPr>
      </w:pPr>
      <w:r w:rsidRPr="00CF75ED">
        <w:rPr>
          <w:rFonts w:asciiTheme="majorBidi" w:hAnsiTheme="majorBidi"/>
          <w:b/>
          <w:bCs/>
          <w:i/>
          <w:iCs/>
          <w:sz w:val="28"/>
          <w:rtl/>
        </w:rPr>
        <w:t xml:space="preserve">سابقه و هدف: </w:t>
      </w:r>
      <w:r w:rsidRPr="00CF75ED">
        <w:rPr>
          <w:rFonts w:asciiTheme="majorBidi" w:hAnsiTheme="majorBidi" w:hint="cs"/>
          <w:sz w:val="28"/>
          <w:rtl/>
          <w:lang w:bidi="fa-IR"/>
        </w:rPr>
        <w:t>با توجه به شیوع بالای کبد چرب غیر الکلی در بیماران دیابتی نوع 2 و عوارض مخرب در کنار هم قرار گرفتن این دو بیماری، یافتن و بررسی عوامل خطر مرتبط با پیشرفت کبد چرب در این بیماران حائز اهمیت می باشد. لذا هدف این مطالعه ارزیابی ارتباط بین عوامل تغذیه ای مانند شاخص فیتوکمیکال و التهابی رژیم غذایی، عوامل تن سنجی مرتبط با چاقی شکمی و پیشرفت کبد چرب در بیماران دیابتی نوع 2 می باشد.</w:t>
      </w:r>
    </w:p>
    <w:p w14:paraId="4D37462F" w14:textId="77777777" w:rsidR="00B62EA1" w:rsidRPr="00CF75ED" w:rsidRDefault="00B62EA1" w:rsidP="00B62EA1">
      <w:pPr>
        <w:bidi/>
        <w:spacing w:line="360" w:lineRule="auto"/>
        <w:jc w:val="both"/>
        <w:rPr>
          <w:rFonts w:asciiTheme="majorBidi" w:hAnsiTheme="majorBidi"/>
          <w:sz w:val="28"/>
          <w:rtl/>
          <w:lang w:bidi="fa-IR"/>
        </w:rPr>
      </w:pPr>
      <w:r w:rsidRPr="00CF75ED">
        <w:rPr>
          <w:rFonts w:asciiTheme="majorBidi" w:hAnsiTheme="majorBidi"/>
          <w:b/>
          <w:bCs/>
          <w:i/>
          <w:iCs/>
          <w:sz w:val="28"/>
          <w:rtl/>
        </w:rPr>
        <w:t xml:space="preserve">مواد و روش ها: </w:t>
      </w:r>
      <w:r w:rsidRPr="00CF75ED">
        <w:rPr>
          <w:rFonts w:asciiTheme="majorBidi" w:hAnsiTheme="majorBidi"/>
          <w:sz w:val="28"/>
          <w:rtl/>
          <w:lang w:bidi="fa-IR"/>
        </w:rPr>
        <w:t xml:space="preserve">در این </w:t>
      </w:r>
      <w:r w:rsidRPr="00CF75ED">
        <w:rPr>
          <w:rFonts w:asciiTheme="majorBidi" w:hAnsiTheme="majorBidi" w:hint="cs"/>
          <w:sz w:val="28"/>
          <w:rtl/>
          <w:lang w:bidi="fa-IR"/>
        </w:rPr>
        <w:t xml:space="preserve">مطالعه </w:t>
      </w:r>
      <w:r>
        <w:rPr>
          <w:rFonts w:asciiTheme="majorBidi" w:hAnsiTheme="majorBidi" w:hint="cs"/>
          <w:sz w:val="28"/>
          <w:rtl/>
          <w:lang w:bidi="fa-IR"/>
        </w:rPr>
        <w:t>مقطعی</w:t>
      </w:r>
      <w:r w:rsidRPr="00CF75ED">
        <w:rPr>
          <w:rFonts w:asciiTheme="majorBidi" w:hAnsiTheme="majorBidi"/>
          <w:sz w:val="28"/>
          <w:rtl/>
          <w:lang w:bidi="fa-IR"/>
        </w:rPr>
        <w:t>، بیماران</w:t>
      </w:r>
      <w:r w:rsidRPr="00CF75ED">
        <w:rPr>
          <w:rFonts w:asciiTheme="majorBidi" w:hAnsiTheme="majorBidi" w:hint="cs"/>
          <w:sz w:val="28"/>
          <w:rtl/>
          <w:lang w:bidi="fa-IR"/>
        </w:rPr>
        <w:t xml:space="preserve"> از</w:t>
      </w:r>
      <w:r w:rsidRPr="00CF75ED">
        <w:rPr>
          <w:rFonts w:asciiTheme="majorBidi" w:hAnsiTheme="majorBidi"/>
          <w:sz w:val="28"/>
          <w:rtl/>
          <w:lang w:bidi="fa-IR"/>
        </w:rPr>
        <w:t xml:space="preserve"> کلینیک </w:t>
      </w:r>
      <w:r w:rsidRPr="00CF75ED">
        <w:rPr>
          <w:rFonts w:asciiTheme="majorBidi" w:hAnsiTheme="majorBidi" w:hint="cs"/>
          <w:sz w:val="28"/>
          <w:rtl/>
          <w:lang w:bidi="fa-IR"/>
        </w:rPr>
        <w:t>غدد و متابولیسم دانشگاه ایران</w:t>
      </w:r>
      <w:r w:rsidRPr="00CF75ED">
        <w:rPr>
          <w:rFonts w:asciiTheme="majorBidi" w:hAnsiTheme="majorBidi"/>
          <w:sz w:val="28"/>
          <w:rtl/>
          <w:lang w:bidi="fa-IR"/>
        </w:rPr>
        <w:t xml:space="preserve"> انتخاب شدند. در این مطالعه بیماران مبتلا به دیابت نوع دو دارای</w:t>
      </w:r>
      <w:r w:rsidRPr="00CF75ED">
        <w:rPr>
          <w:rFonts w:asciiTheme="majorBidi" w:hAnsiTheme="majorBidi" w:hint="cs"/>
          <w:sz w:val="28"/>
          <w:rtl/>
          <w:lang w:bidi="fa-IR"/>
        </w:rPr>
        <w:t xml:space="preserve"> </w:t>
      </w:r>
      <w:r w:rsidRPr="00624CA5">
        <w:rPr>
          <w:rFonts w:asciiTheme="majorBidi" w:hAnsiTheme="majorBidi"/>
          <w:szCs w:val="24"/>
          <w:lang w:bidi="fa-IR"/>
        </w:rPr>
        <w:t>NAFLD</w:t>
      </w:r>
      <w:r w:rsidRPr="00624CA5">
        <w:rPr>
          <w:rFonts w:asciiTheme="majorBidi" w:hAnsiTheme="majorBidi" w:hint="cs"/>
          <w:szCs w:val="24"/>
          <w:rtl/>
          <w:lang w:bidi="fa-IR"/>
        </w:rPr>
        <w:t xml:space="preserve"> </w:t>
      </w:r>
      <w:r w:rsidRPr="00624CA5">
        <w:rPr>
          <w:rFonts w:asciiTheme="majorBidi" w:hAnsiTheme="majorBidi"/>
          <w:szCs w:val="24"/>
          <w:lang w:bidi="fa-IR"/>
        </w:rPr>
        <w:t xml:space="preserve"> </w:t>
      </w:r>
      <w:r w:rsidRPr="00624CA5">
        <w:rPr>
          <w:rFonts w:asciiTheme="majorBidi" w:hAnsiTheme="majorBidi"/>
          <w:szCs w:val="24"/>
          <w:rtl/>
          <w:lang w:bidi="fa-IR"/>
        </w:rPr>
        <w:t>(</w:t>
      </w:r>
      <w:r w:rsidRPr="00624CA5">
        <w:rPr>
          <w:rFonts w:asciiTheme="majorBidi" w:hAnsiTheme="majorBidi"/>
          <w:szCs w:val="24"/>
          <w:lang w:bidi="fa-IR"/>
        </w:rPr>
        <w:t>CAP score 270≤</w:t>
      </w:r>
      <w:r w:rsidRPr="00624CA5">
        <w:rPr>
          <w:rFonts w:asciiTheme="majorBidi" w:hAnsiTheme="majorBidi"/>
          <w:szCs w:val="24"/>
          <w:rtl/>
          <w:lang w:bidi="fa-IR"/>
        </w:rPr>
        <w:t xml:space="preserve">، </w:t>
      </w:r>
      <w:r w:rsidRPr="00CF75ED">
        <w:rPr>
          <w:rFonts w:asciiTheme="majorBidi" w:hAnsiTheme="majorBidi"/>
          <w:sz w:val="28"/>
          <w:rtl/>
          <w:lang w:bidi="fa-IR"/>
        </w:rPr>
        <w:t>اندازه گیری</w:t>
      </w:r>
      <w:r>
        <w:rPr>
          <w:rFonts w:asciiTheme="majorBidi" w:hAnsiTheme="majorBidi" w:hint="cs"/>
          <w:sz w:val="28"/>
          <w:rtl/>
          <w:lang w:bidi="fa-IR"/>
        </w:rPr>
        <w:t xml:space="preserve"> شده</w:t>
      </w:r>
      <w:r w:rsidRPr="00CF75ED">
        <w:rPr>
          <w:rFonts w:asciiTheme="majorBidi" w:hAnsiTheme="majorBidi"/>
          <w:sz w:val="28"/>
          <w:rtl/>
          <w:lang w:bidi="fa-IR"/>
        </w:rPr>
        <w:t xml:space="preserve"> با روش الاستوگرافی</w:t>
      </w:r>
      <w:r w:rsidRPr="00CF75ED">
        <w:rPr>
          <w:rFonts w:asciiTheme="majorBidi" w:hAnsiTheme="majorBidi" w:hint="cs"/>
          <w:sz w:val="28"/>
          <w:rtl/>
          <w:lang w:bidi="fa-IR"/>
        </w:rPr>
        <w:t xml:space="preserve"> گذرا</w:t>
      </w:r>
      <w:r>
        <w:rPr>
          <w:rFonts w:asciiTheme="majorBidi" w:hAnsiTheme="majorBidi" w:hint="cs"/>
          <w:sz w:val="28"/>
          <w:rtl/>
          <w:lang w:bidi="fa-IR"/>
        </w:rPr>
        <w:t xml:space="preserve"> </w:t>
      </w:r>
      <w:r w:rsidRPr="00624CA5">
        <w:rPr>
          <w:rFonts w:asciiTheme="majorBidi" w:hAnsiTheme="majorBidi"/>
          <w:szCs w:val="24"/>
          <w:lang w:bidi="fa-IR"/>
        </w:rPr>
        <w:t>(TE)</w:t>
      </w:r>
      <w:r w:rsidRPr="00CF75ED">
        <w:rPr>
          <w:rFonts w:asciiTheme="majorBidi" w:hAnsiTheme="majorBidi"/>
          <w:sz w:val="28"/>
          <w:rtl/>
          <w:lang w:bidi="fa-IR"/>
        </w:rPr>
        <w:t>)</w:t>
      </w:r>
      <w:r w:rsidRPr="00CF75ED">
        <w:rPr>
          <w:rFonts w:asciiTheme="majorBidi" w:hAnsiTheme="majorBidi" w:hint="cs"/>
          <w:sz w:val="28"/>
          <w:rtl/>
          <w:lang w:bidi="fa-IR"/>
        </w:rPr>
        <w:t xml:space="preserve"> در گروه </w:t>
      </w:r>
      <w:r w:rsidRPr="007E4817">
        <w:rPr>
          <w:rFonts w:asciiTheme="majorBidi" w:hAnsiTheme="majorBidi"/>
          <w:szCs w:val="24"/>
          <w:lang w:bidi="fa-IR"/>
        </w:rPr>
        <w:t>NAFLD</w:t>
      </w:r>
      <w:r w:rsidRPr="00CF75ED">
        <w:rPr>
          <w:rFonts w:asciiTheme="majorBidi" w:hAnsiTheme="majorBidi" w:hint="cs"/>
          <w:sz w:val="28"/>
          <w:rtl/>
          <w:lang w:bidi="fa-IR"/>
        </w:rPr>
        <w:t xml:space="preserve"> و بیماران دیابت نوع دو با </w:t>
      </w:r>
      <w:r w:rsidRPr="00624CA5">
        <w:rPr>
          <w:rFonts w:asciiTheme="majorBidi" w:hAnsiTheme="majorBidi"/>
          <w:szCs w:val="24"/>
          <w:lang w:bidi="fa-IR"/>
        </w:rPr>
        <w:t>CAP score 270&gt;</w:t>
      </w:r>
      <w:r w:rsidRPr="00624CA5">
        <w:rPr>
          <w:rFonts w:asciiTheme="majorBidi" w:hAnsiTheme="majorBidi"/>
          <w:szCs w:val="24"/>
          <w:rtl/>
          <w:lang w:bidi="fa-IR"/>
        </w:rPr>
        <w:t xml:space="preserve"> </w:t>
      </w:r>
      <w:r w:rsidRPr="00CF75ED">
        <w:rPr>
          <w:rFonts w:asciiTheme="majorBidi" w:hAnsiTheme="majorBidi" w:hint="cs"/>
          <w:sz w:val="28"/>
          <w:rtl/>
          <w:lang w:bidi="fa-IR"/>
        </w:rPr>
        <w:t xml:space="preserve">در گروه </w:t>
      </w:r>
      <w:r>
        <w:rPr>
          <w:rFonts w:asciiTheme="majorBidi" w:hAnsiTheme="majorBidi" w:hint="cs"/>
          <w:sz w:val="28"/>
          <w:rtl/>
          <w:lang w:bidi="fa-IR"/>
        </w:rPr>
        <w:t>کنترل</w:t>
      </w:r>
      <w:r w:rsidRPr="00CF75ED">
        <w:rPr>
          <w:rFonts w:asciiTheme="majorBidi" w:hAnsiTheme="majorBidi" w:hint="cs"/>
          <w:sz w:val="28"/>
          <w:rtl/>
          <w:lang w:bidi="fa-IR"/>
        </w:rPr>
        <w:t xml:space="preserve"> </w:t>
      </w:r>
      <w:r w:rsidRPr="00CF75ED">
        <w:rPr>
          <w:rFonts w:asciiTheme="majorBidi" w:hAnsiTheme="majorBidi"/>
          <w:sz w:val="28"/>
          <w:rtl/>
          <w:lang w:bidi="fa-IR"/>
        </w:rPr>
        <w:t>بودند</w:t>
      </w:r>
      <w:r w:rsidRPr="00CF75ED">
        <w:rPr>
          <w:rFonts w:asciiTheme="majorBidi" w:hAnsiTheme="majorBidi" w:hint="cs"/>
          <w:sz w:val="28"/>
          <w:rtl/>
          <w:lang w:bidi="fa-IR"/>
        </w:rPr>
        <w:t xml:space="preserve">. شاخص فیتوکمیکال رژیمی </w:t>
      </w:r>
      <w:r w:rsidRPr="00624CA5">
        <w:rPr>
          <w:rFonts w:asciiTheme="majorBidi" w:hAnsiTheme="majorBidi"/>
          <w:szCs w:val="24"/>
          <w:lang w:bidi="fa-IR"/>
        </w:rPr>
        <w:t>(DPI)</w:t>
      </w:r>
      <w:r w:rsidRPr="00CF75ED">
        <w:rPr>
          <w:rFonts w:asciiTheme="majorBidi" w:hAnsiTheme="majorBidi" w:hint="cs"/>
          <w:sz w:val="28"/>
          <w:rtl/>
          <w:lang w:bidi="fa-IR"/>
        </w:rPr>
        <w:t xml:space="preserve"> و شاخص التهابی رژیمی بر اساس داده های بدست آمده از پرسشنامه بسامد خوراکی 147 آیتمی با استفاده از فرمول ها و روش های مربوطه محاسبه گردیدند. هم چنین، اندازه گیری های تن سنجی و ترکیب بدن با استفاده از </w:t>
      </w:r>
      <w:r w:rsidRPr="00624CA5">
        <w:rPr>
          <w:rFonts w:asciiTheme="majorBidi" w:hAnsiTheme="majorBidi"/>
          <w:szCs w:val="24"/>
          <w:lang w:bidi="fa-IR"/>
        </w:rPr>
        <w:t xml:space="preserve">Dual-energy X-ray absorptiometry (DEXA) </w:t>
      </w:r>
      <w:r w:rsidRPr="00624CA5">
        <w:rPr>
          <w:rFonts w:asciiTheme="majorBidi" w:hAnsiTheme="majorBidi" w:hint="cs"/>
          <w:szCs w:val="24"/>
          <w:rtl/>
          <w:lang w:bidi="fa-IR"/>
        </w:rPr>
        <w:t xml:space="preserve"> </w:t>
      </w:r>
      <w:r w:rsidRPr="00CF75ED">
        <w:rPr>
          <w:rFonts w:asciiTheme="majorBidi" w:hAnsiTheme="majorBidi" w:hint="cs"/>
          <w:sz w:val="28"/>
          <w:rtl/>
          <w:lang w:bidi="fa-IR"/>
        </w:rPr>
        <w:t xml:space="preserve">و آزمایشات مورد نیاز مانند قندخون ناشتای سرم، تری گلیسیرید و کلسترول سرم و لیپوپروتئین با دانسیته بالا سرم </w:t>
      </w:r>
      <w:r w:rsidRPr="00624CA5">
        <w:rPr>
          <w:rFonts w:asciiTheme="majorBidi" w:hAnsiTheme="majorBidi"/>
          <w:szCs w:val="24"/>
          <w:lang w:bidi="fa-IR"/>
        </w:rPr>
        <w:t>(HDL)</w:t>
      </w:r>
      <w:r w:rsidRPr="00CF75ED">
        <w:rPr>
          <w:rFonts w:asciiTheme="majorBidi" w:hAnsiTheme="majorBidi" w:hint="cs"/>
          <w:sz w:val="28"/>
          <w:rtl/>
          <w:lang w:bidi="fa-IR"/>
        </w:rPr>
        <w:t xml:space="preserve"> انجام گردید. نسبت شانس و فاصله اطمینان </w:t>
      </w:r>
      <w:r w:rsidRPr="00624CA5">
        <w:rPr>
          <w:rFonts w:asciiTheme="majorBidi" w:hAnsiTheme="majorBidi"/>
          <w:szCs w:val="24"/>
          <w:lang w:bidi="fa-IR"/>
        </w:rPr>
        <w:t>(OR, 95% CI)</w:t>
      </w:r>
      <w:r w:rsidRPr="00624CA5">
        <w:rPr>
          <w:rFonts w:asciiTheme="majorBidi" w:hAnsiTheme="majorBidi" w:hint="cs"/>
          <w:szCs w:val="24"/>
          <w:rtl/>
          <w:lang w:bidi="fa-IR"/>
        </w:rPr>
        <w:t xml:space="preserve"> </w:t>
      </w:r>
      <w:r w:rsidRPr="00CF75ED">
        <w:rPr>
          <w:rFonts w:asciiTheme="majorBidi" w:hAnsiTheme="majorBidi" w:hint="cs"/>
          <w:sz w:val="28"/>
          <w:rtl/>
          <w:lang w:bidi="fa-IR"/>
        </w:rPr>
        <w:t>پیشرفت کبد چرب در بیماران دیابتی برای شاخص های ذکر شده در گروه های مختلف آن ها با استفاده از رگرسیون لجستیک و مدل های تعدیل شده بدست آمد.</w:t>
      </w:r>
    </w:p>
    <w:p w14:paraId="5C8C4D71" w14:textId="2A492262" w:rsidR="00B62EA1" w:rsidRPr="00CF75ED" w:rsidRDefault="00B62EA1" w:rsidP="00B62EA1">
      <w:pPr>
        <w:bidi/>
        <w:spacing w:line="360" w:lineRule="auto"/>
        <w:jc w:val="both"/>
        <w:rPr>
          <w:rFonts w:asciiTheme="majorBidi" w:hAnsiTheme="majorBidi"/>
          <w:sz w:val="28"/>
          <w:rtl/>
          <w:lang w:bidi="fa-IR"/>
        </w:rPr>
      </w:pPr>
      <w:r w:rsidRPr="00671A29">
        <w:rPr>
          <w:rFonts w:asciiTheme="majorBidi" w:hAnsiTheme="majorBidi"/>
          <w:b/>
          <w:bCs/>
          <w:i/>
          <w:iCs/>
          <w:sz w:val="28"/>
          <w:rtl/>
        </w:rPr>
        <w:t>یافته ها:</w:t>
      </w:r>
      <w:r w:rsidRPr="00CF75ED">
        <w:rPr>
          <w:rFonts w:asciiTheme="majorBidi" w:hAnsiTheme="majorBidi"/>
          <w:b/>
          <w:bCs/>
          <w:sz w:val="28"/>
          <w:rtl/>
        </w:rPr>
        <w:t xml:space="preserve"> </w:t>
      </w:r>
      <w:r w:rsidRPr="00CF75ED">
        <w:rPr>
          <w:rFonts w:hint="cs"/>
          <w:sz w:val="28"/>
          <w:rtl/>
          <w:lang w:bidi="fa-IR"/>
        </w:rPr>
        <w:t xml:space="preserve">گروه </w:t>
      </w:r>
      <w:r w:rsidRPr="007E4817">
        <w:rPr>
          <w:rFonts w:asciiTheme="majorBidi" w:hAnsiTheme="majorBidi"/>
          <w:szCs w:val="24"/>
          <w:lang w:bidi="fa-IR"/>
        </w:rPr>
        <w:t>NAFLD</w:t>
      </w:r>
      <w:r w:rsidRPr="00CF75ED">
        <w:rPr>
          <w:rFonts w:hint="cs"/>
          <w:sz w:val="28"/>
          <w:rtl/>
          <w:lang w:bidi="fa-IR"/>
        </w:rPr>
        <w:t xml:space="preserve"> متشکل از 133 و گروه </w:t>
      </w:r>
      <w:r>
        <w:rPr>
          <w:rFonts w:hint="cs"/>
          <w:sz w:val="28"/>
          <w:rtl/>
          <w:lang w:bidi="fa-IR"/>
        </w:rPr>
        <w:t>کنترل</w:t>
      </w:r>
      <w:r w:rsidRPr="00CF75ED">
        <w:rPr>
          <w:rFonts w:hint="cs"/>
          <w:sz w:val="28"/>
          <w:rtl/>
          <w:lang w:bidi="fa-IR"/>
        </w:rPr>
        <w:t xml:space="preserve"> متشکل از 67 شرکت کننده با میانگین سنی به ترتیب</w:t>
      </w:r>
      <w:r>
        <w:rPr>
          <w:rFonts w:hint="cs"/>
          <w:sz w:val="28"/>
          <w:rtl/>
          <w:lang w:bidi="fa-IR"/>
        </w:rPr>
        <w:t xml:space="preserve"> 52.19</w:t>
      </w:r>
      <w:r w:rsidRPr="00CF75ED">
        <w:rPr>
          <w:rFonts w:cs="Times New Roman"/>
          <w:sz w:val="28"/>
          <w:rtl/>
          <w:lang w:bidi="fa-IR"/>
        </w:rPr>
        <w:t>±</w:t>
      </w:r>
      <w:r w:rsidRPr="00CF75ED">
        <w:rPr>
          <w:rFonts w:hint="cs"/>
          <w:sz w:val="28"/>
          <w:rtl/>
          <w:lang w:bidi="fa-IR"/>
        </w:rPr>
        <w:t>9.06 و 9.75</w:t>
      </w:r>
      <w:r w:rsidRPr="00CF75ED">
        <w:rPr>
          <w:rFonts w:cs="Times New Roman"/>
          <w:sz w:val="28"/>
          <w:rtl/>
          <w:lang w:bidi="fa-IR"/>
        </w:rPr>
        <w:t>±</w:t>
      </w:r>
      <w:r w:rsidRPr="00CF75ED">
        <w:rPr>
          <w:rFonts w:hint="cs"/>
          <w:sz w:val="28"/>
          <w:rtl/>
          <w:lang w:bidi="fa-IR"/>
        </w:rPr>
        <w:t xml:space="preserve">52.24 می باشند. </w:t>
      </w:r>
      <w:r w:rsidRPr="00CF75ED">
        <w:rPr>
          <w:rFonts w:ascii="B Nazanin" w:hAnsi="B Nazanin" w:hint="cs"/>
          <w:sz w:val="28"/>
          <w:rtl/>
          <w:lang w:bidi="fa-IR"/>
        </w:rPr>
        <w:t>میانگین</w:t>
      </w:r>
      <w:r w:rsidRPr="00CF75ED">
        <w:rPr>
          <w:rFonts w:asciiTheme="majorBidi" w:hAnsiTheme="majorBidi" w:cstheme="majorBidi"/>
          <w:sz w:val="28"/>
          <w:rtl/>
          <w:lang w:bidi="fa-IR"/>
        </w:rPr>
        <w:t xml:space="preserve"> </w:t>
      </w:r>
      <w:r w:rsidRPr="000E750F">
        <w:rPr>
          <w:rFonts w:asciiTheme="majorBidi" w:hAnsiTheme="majorBidi" w:cstheme="majorBidi"/>
          <w:szCs w:val="24"/>
          <w:lang w:bidi="fa-IR"/>
        </w:rPr>
        <w:t>BMI</w:t>
      </w:r>
      <w:r w:rsidRPr="00CF75ED">
        <w:rPr>
          <w:rFonts w:asciiTheme="minorHAnsi" w:hAnsiTheme="minorHAnsi" w:hint="cs"/>
          <w:sz w:val="28"/>
          <w:rtl/>
          <w:lang w:bidi="fa-IR"/>
        </w:rPr>
        <w:t xml:space="preserve"> در گروه </w:t>
      </w:r>
      <w:r w:rsidRPr="007E4817">
        <w:rPr>
          <w:rFonts w:asciiTheme="majorBidi" w:hAnsiTheme="majorBidi"/>
          <w:szCs w:val="24"/>
          <w:lang w:bidi="fa-IR"/>
        </w:rPr>
        <w:t>NAFLD</w:t>
      </w:r>
      <w:r w:rsidRPr="00CF75ED">
        <w:rPr>
          <w:rFonts w:asciiTheme="minorHAnsi" w:hAnsiTheme="minorHAnsi" w:hint="cs"/>
          <w:sz w:val="28"/>
          <w:rtl/>
          <w:lang w:bidi="fa-IR"/>
        </w:rPr>
        <w:t xml:space="preserve"> </w:t>
      </w:r>
      <w:r>
        <w:rPr>
          <w:rFonts w:asciiTheme="minorHAnsi" w:hAnsiTheme="minorHAnsi" w:hint="cs"/>
          <w:sz w:val="28"/>
          <w:rtl/>
          <w:lang w:bidi="fa-IR"/>
        </w:rPr>
        <w:t>30.07</w:t>
      </w:r>
      <w:r w:rsidRPr="00CF75ED">
        <w:rPr>
          <w:rFonts w:ascii="Calibri" w:hAnsi="Calibri" w:cs="Calibri"/>
          <w:sz w:val="28"/>
          <w:rtl/>
          <w:lang w:bidi="fa-IR"/>
        </w:rPr>
        <w:t>±</w:t>
      </w:r>
      <w:r w:rsidRPr="00CF75ED">
        <w:rPr>
          <w:rFonts w:asciiTheme="minorHAnsi" w:hAnsiTheme="minorHAnsi" w:hint="cs"/>
          <w:sz w:val="28"/>
          <w:rtl/>
          <w:lang w:bidi="fa-IR"/>
        </w:rPr>
        <w:t>4.06</w:t>
      </w:r>
      <w:r>
        <w:rPr>
          <w:rFonts w:asciiTheme="minorHAnsi" w:hAnsiTheme="minorHAnsi" w:hint="cs"/>
          <w:sz w:val="28"/>
          <w:rtl/>
          <w:lang w:bidi="fa-IR"/>
        </w:rPr>
        <w:t xml:space="preserve"> </w:t>
      </w:r>
      <w:r w:rsidRPr="00CF75ED">
        <w:rPr>
          <w:rFonts w:asciiTheme="minorHAnsi" w:hAnsiTheme="minorHAnsi" w:hint="cs"/>
          <w:sz w:val="28"/>
          <w:rtl/>
          <w:lang w:bidi="fa-IR"/>
        </w:rPr>
        <w:t xml:space="preserve">و درگروه </w:t>
      </w:r>
      <w:r>
        <w:rPr>
          <w:rFonts w:asciiTheme="minorHAnsi" w:hAnsiTheme="minorHAnsi" w:hint="cs"/>
          <w:sz w:val="28"/>
          <w:rtl/>
          <w:lang w:bidi="fa-IR"/>
        </w:rPr>
        <w:t>کنترل</w:t>
      </w:r>
      <w:r>
        <w:rPr>
          <w:rFonts w:asciiTheme="minorHAnsi" w:hAnsiTheme="minorHAnsi" w:hint="cs"/>
          <w:sz w:val="28"/>
          <w:rtl/>
          <w:lang w:bidi="fa-IR"/>
        </w:rPr>
        <w:t xml:space="preserve"> 26.17</w:t>
      </w:r>
      <w:r w:rsidRPr="00CF75ED">
        <w:rPr>
          <w:rFonts w:ascii="Calibri" w:hAnsi="Calibri" w:cs="Calibri"/>
          <w:sz w:val="28"/>
          <w:rtl/>
          <w:lang w:bidi="fa-IR"/>
        </w:rPr>
        <w:t>±</w:t>
      </w:r>
      <w:r w:rsidRPr="00CF75ED">
        <w:rPr>
          <w:rFonts w:asciiTheme="minorHAnsi" w:hAnsiTheme="minorHAnsi" w:hint="cs"/>
          <w:sz w:val="28"/>
          <w:rtl/>
          <w:lang w:bidi="fa-IR"/>
        </w:rPr>
        <w:t xml:space="preserve">3.42 می باشد. پس از تعدیل همه مخدوشگرها، شانس پیشرفت کبد چرب در بالاترین سهک شاخص التهابی رژیمی </w:t>
      </w:r>
      <w:r w:rsidRPr="000E750F">
        <w:rPr>
          <w:rFonts w:asciiTheme="majorBidi" w:hAnsiTheme="majorBidi" w:cstheme="majorBidi"/>
          <w:szCs w:val="24"/>
          <w:lang w:bidi="fa-IR"/>
        </w:rPr>
        <w:t>(DII)</w:t>
      </w:r>
      <w:r w:rsidRPr="00CF75ED">
        <w:rPr>
          <w:rFonts w:asciiTheme="minorHAnsi" w:hAnsiTheme="minorHAnsi" w:hint="cs"/>
          <w:sz w:val="28"/>
          <w:rtl/>
          <w:lang w:bidi="fa-IR"/>
        </w:rPr>
        <w:t xml:space="preserve"> در مقایسه به پایین ترین آن، </w:t>
      </w:r>
      <w:r>
        <w:rPr>
          <w:rFonts w:asciiTheme="minorHAnsi" w:hAnsiTheme="minorHAnsi" w:hint="cs"/>
          <w:sz w:val="28"/>
          <w:rtl/>
          <w:lang w:bidi="fa-IR"/>
        </w:rPr>
        <w:t>2.78</w:t>
      </w:r>
      <w:r w:rsidRPr="00CF75ED">
        <w:rPr>
          <w:rFonts w:asciiTheme="minorHAnsi" w:hAnsiTheme="minorHAnsi" w:hint="cs"/>
          <w:sz w:val="28"/>
          <w:rtl/>
          <w:lang w:bidi="fa-IR"/>
        </w:rPr>
        <w:t xml:space="preserve"> برابر افزایش یافت </w:t>
      </w:r>
      <w:r w:rsidRPr="000E750F">
        <w:rPr>
          <w:rFonts w:asciiTheme="majorBidi" w:hAnsiTheme="majorBidi"/>
          <w:szCs w:val="24"/>
          <w:lang w:bidi="fa-IR"/>
        </w:rPr>
        <w:t xml:space="preserve">(OR = </w:t>
      </w:r>
      <w:r>
        <w:rPr>
          <w:rFonts w:asciiTheme="majorBidi" w:hAnsiTheme="majorBidi"/>
          <w:szCs w:val="24"/>
          <w:lang w:bidi="fa-IR"/>
        </w:rPr>
        <w:t>2.78</w:t>
      </w:r>
      <w:r w:rsidRPr="000E750F">
        <w:rPr>
          <w:rFonts w:asciiTheme="majorBidi" w:hAnsiTheme="majorBidi"/>
          <w:szCs w:val="24"/>
          <w:lang w:bidi="fa-IR"/>
        </w:rPr>
        <w:t>, 95% CI: 1.</w:t>
      </w:r>
      <w:r>
        <w:rPr>
          <w:rFonts w:asciiTheme="majorBidi" w:hAnsiTheme="majorBidi"/>
          <w:szCs w:val="24"/>
          <w:lang w:bidi="fa-IR"/>
        </w:rPr>
        <w:t>09</w:t>
      </w:r>
      <w:r w:rsidRPr="000E750F">
        <w:rPr>
          <w:rFonts w:asciiTheme="majorBidi" w:hAnsiTheme="majorBidi"/>
          <w:szCs w:val="24"/>
          <w:lang w:bidi="fa-IR"/>
        </w:rPr>
        <w:t>-7.</w:t>
      </w:r>
      <w:r>
        <w:rPr>
          <w:rFonts w:asciiTheme="majorBidi" w:hAnsiTheme="majorBidi"/>
          <w:szCs w:val="24"/>
          <w:lang w:bidi="fa-IR"/>
        </w:rPr>
        <w:t>13</w:t>
      </w:r>
      <w:r w:rsidRPr="000E750F">
        <w:rPr>
          <w:rFonts w:asciiTheme="majorBidi" w:hAnsiTheme="majorBidi"/>
          <w:szCs w:val="24"/>
          <w:lang w:bidi="fa-IR"/>
        </w:rPr>
        <w:t>, P = 0.0</w:t>
      </w:r>
      <w:r>
        <w:rPr>
          <w:rFonts w:asciiTheme="majorBidi" w:hAnsiTheme="majorBidi"/>
          <w:szCs w:val="24"/>
          <w:lang w:bidi="fa-IR"/>
        </w:rPr>
        <w:t>25</w:t>
      </w:r>
      <w:r w:rsidRPr="000E750F">
        <w:rPr>
          <w:rFonts w:asciiTheme="majorBidi" w:hAnsiTheme="majorBidi"/>
          <w:szCs w:val="24"/>
          <w:lang w:bidi="fa-IR"/>
        </w:rPr>
        <w:t>)</w:t>
      </w:r>
      <w:r w:rsidRPr="00CF75ED">
        <w:rPr>
          <w:rFonts w:asciiTheme="majorBidi" w:hAnsiTheme="majorBidi" w:hint="cs"/>
          <w:sz w:val="28"/>
          <w:rtl/>
          <w:lang w:bidi="fa-IR"/>
        </w:rPr>
        <w:t xml:space="preserve">. این رابطه معنی دار در مردان نیز مشاهده گردید. افرادی که مصرف بالاتر از میانه شاخص فیتوکمیکال رژیمی </w:t>
      </w:r>
      <w:r w:rsidRPr="000E750F">
        <w:rPr>
          <w:rFonts w:asciiTheme="majorBidi" w:hAnsiTheme="majorBidi"/>
          <w:szCs w:val="24"/>
          <w:lang w:bidi="fa-IR"/>
        </w:rPr>
        <w:t>(DPI)</w:t>
      </w:r>
      <w:r w:rsidRPr="000E750F">
        <w:rPr>
          <w:rFonts w:asciiTheme="majorBidi" w:hAnsiTheme="majorBidi" w:hint="cs"/>
          <w:szCs w:val="24"/>
          <w:rtl/>
          <w:lang w:bidi="fa-IR"/>
        </w:rPr>
        <w:t xml:space="preserve"> </w:t>
      </w:r>
      <w:r w:rsidRPr="00CF75ED">
        <w:rPr>
          <w:rFonts w:asciiTheme="majorBidi" w:hAnsiTheme="majorBidi" w:hint="cs"/>
          <w:sz w:val="28"/>
          <w:rtl/>
          <w:lang w:bidi="fa-IR"/>
        </w:rPr>
        <w:t>داشتند، پس از تعدیل همه مخدوشگر ها به میزان 6</w:t>
      </w:r>
      <w:r>
        <w:rPr>
          <w:rFonts w:asciiTheme="majorBidi" w:hAnsiTheme="majorBidi" w:hint="cs"/>
          <w:sz w:val="28"/>
          <w:rtl/>
          <w:lang w:bidi="fa-IR"/>
        </w:rPr>
        <w:t>5</w:t>
      </w:r>
      <w:r w:rsidRPr="00CF75ED">
        <w:rPr>
          <w:rFonts w:asciiTheme="majorBidi" w:hAnsiTheme="majorBidi" w:hint="cs"/>
          <w:sz w:val="28"/>
          <w:rtl/>
          <w:lang w:bidi="fa-IR"/>
        </w:rPr>
        <w:t xml:space="preserve">% خطر کمتری برای پیشرفت کبد چرب </w:t>
      </w:r>
      <w:r w:rsidRPr="00CF75ED">
        <w:rPr>
          <w:rFonts w:asciiTheme="majorBidi" w:hAnsiTheme="majorBidi" w:hint="cs"/>
          <w:sz w:val="28"/>
          <w:rtl/>
          <w:lang w:bidi="fa-IR"/>
        </w:rPr>
        <w:lastRenderedPageBreak/>
        <w:t xml:space="preserve">نشان دادند </w:t>
      </w:r>
      <w:r w:rsidRPr="000E750F">
        <w:rPr>
          <w:szCs w:val="24"/>
          <w:lang w:bidi="fa-IR"/>
        </w:rPr>
        <w:t>(OR = 0.3</w:t>
      </w:r>
      <w:r>
        <w:rPr>
          <w:szCs w:val="24"/>
          <w:lang w:bidi="fa-IR"/>
        </w:rPr>
        <w:t>5</w:t>
      </w:r>
      <w:r w:rsidRPr="000E750F">
        <w:rPr>
          <w:szCs w:val="24"/>
          <w:lang w:bidi="fa-IR"/>
        </w:rPr>
        <w:t>, 95% CI: 0.12-0.9</w:t>
      </w:r>
      <w:r>
        <w:rPr>
          <w:szCs w:val="24"/>
          <w:lang w:bidi="fa-IR"/>
        </w:rPr>
        <w:t>8</w:t>
      </w:r>
      <w:r w:rsidRPr="000E750F">
        <w:rPr>
          <w:szCs w:val="24"/>
          <w:lang w:bidi="fa-IR"/>
        </w:rPr>
        <w:t>, P = 0.0</w:t>
      </w:r>
      <w:r>
        <w:rPr>
          <w:szCs w:val="24"/>
          <w:lang w:bidi="fa-IR"/>
        </w:rPr>
        <w:t>48</w:t>
      </w:r>
      <w:r w:rsidRPr="000E750F">
        <w:rPr>
          <w:szCs w:val="24"/>
          <w:lang w:bidi="fa-IR"/>
        </w:rPr>
        <w:t>)</w:t>
      </w:r>
      <w:r w:rsidRPr="00CF75ED">
        <w:rPr>
          <w:rFonts w:asciiTheme="majorBidi" w:hAnsiTheme="majorBidi" w:hint="cs"/>
          <w:sz w:val="28"/>
          <w:rtl/>
          <w:lang w:bidi="fa-IR"/>
        </w:rPr>
        <w:t xml:space="preserve">. پس از تعدیل مخدوشگر ها و به طور مستقل از </w:t>
      </w:r>
      <w:r w:rsidRPr="000E750F">
        <w:rPr>
          <w:rFonts w:asciiTheme="majorBidi" w:hAnsiTheme="majorBidi"/>
          <w:szCs w:val="24"/>
          <w:lang w:bidi="fa-IR"/>
        </w:rPr>
        <w:t>BMI</w:t>
      </w:r>
      <w:r w:rsidRPr="00CF75ED">
        <w:rPr>
          <w:rFonts w:asciiTheme="majorBidi" w:hAnsiTheme="majorBidi" w:hint="cs"/>
          <w:sz w:val="28"/>
          <w:rtl/>
          <w:lang w:bidi="fa-IR"/>
        </w:rPr>
        <w:t xml:space="preserve">، رابطه مستقیم معناداری بین بالاترین سهک </w:t>
      </w:r>
      <w:r w:rsidRPr="000E750F">
        <w:rPr>
          <w:rFonts w:asciiTheme="majorBidi" w:hAnsiTheme="majorBidi"/>
          <w:szCs w:val="24"/>
          <w:lang w:bidi="fa-IR"/>
        </w:rPr>
        <w:t>TLR</w:t>
      </w:r>
      <w:r w:rsidRPr="000E750F">
        <w:rPr>
          <w:rFonts w:asciiTheme="majorBidi" w:hAnsiTheme="majorBidi" w:hint="cs"/>
          <w:szCs w:val="24"/>
          <w:rtl/>
          <w:lang w:bidi="fa-IR"/>
        </w:rPr>
        <w:t xml:space="preserve"> </w:t>
      </w:r>
      <w:r w:rsidRPr="000E750F">
        <w:rPr>
          <w:rFonts w:asciiTheme="majorBidi" w:hAnsiTheme="majorBidi"/>
          <w:szCs w:val="24"/>
          <w:lang w:bidi="fa-IR"/>
        </w:rPr>
        <w:t xml:space="preserve">(OR = </w:t>
      </w:r>
      <w:r>
        <w:rPr>
          <w:rFonts w:asciiTheme="majorBidi" w:hAnsiTheme="majorBidi"/>
          <w:szCs w:val="24"/>
          <w:lang w:bidi="fa-IR"/>
        </w:rPr>
        <w:t>7.99</w:t>
      </w:r>
      <w:r w:rsidRPr="000E750F">
        <w:rPr>
          <w:rFonts w:asciiTheme="majorBidi" w:hAnsiTheme="majorBidi"/>
          <w:szCs w:val="24"/>
          <w:lang w:bidi="fa-IR"/>
        </w:rPr>
        <w:t xml:space="preserve">, 95% CI: </w:t>
      </w:r>
      <w:r>
        <w:rPr>
          <w:rFonts w:asciiTheme="majorBidi" w:hAnsiTheme="majorBidi"/>
          <w:szCs w:val="24"/>
          <w:lang w:bidi="fa-IR"/>
        </w:rPr>
        <w:t>2.43</w:t>
      </w:r>
      <w:r w:rsidRPr="000E750F">
        <w:rPr>
          <w:rFonts w:asciiTheme="majorBidi" w:hAnsiTheme="majorBidi"/>
          <w:szCs w:val="24"/>
          <w:lang w:bidi="fa-IR"/>
        </w:rPr>
        <w:t>-1</w:t>
      </w:r>
      <w:r>
        <w:rPr>
          <w:rFonts w:asciiTheme="majorBidi" w:hAnsiTheme="majorBidi"/>
          <w:szCs w:val="24"/>
          <w:lang w:bidi="fa-IR"/>
        </w:rPr>
        <w:t>26.26</w:t>
      </w:r>
      <w:r w:rsidRPr="000E750F">
        <w:rPr>
          <w:rFonts w:asciiTheme="majorBidi" w:hAnsiTheme="majorBidi"/>
          <w:szCs w:val="24"/>
          <w:lang w:bidi="fa-IR"/>
        </w:rPr>
        <w:t>,</w:t>
      </w:r>
      <w:r w:rsidRPr="00CF75ED">
        <w:rPr>
          <w:rFonts w:asciiTheme="majorBidi" w:hAnsiTheme="majorBidi"/>
          <w:sz w:val="28"/>
          <w:lang w:bidi="fa-IR"/>
        </w:rPr>
        <w:t xml:space="preserve"> P = </w:t>
      </w:r>
      <w:r w:rsidRPr="000E750F">
        <w:rPr>
          <w:rFonts w:asciiTheme="majorBidi" w:hAnsiTheme="majorBidi"/>
          <w:szCs w:val="24"/>
          <w:lang w:bidi="fa-IR"/>
        </w:rPr>
        <w:t>0.001)</w:t>
      </w:r>
      <w:r w:rsidRPr="000E750F">
        <w:rPr>
          <w:rFonts w:asciiTheme="majorBidi" w:hAnsiTheme="majorBidi" w:hint="cs"/>
          <w:szCs w:val="24"/>
          <w:rtl/>
          <w:lang w:bidi="fa-IR"/>
        </w:rPr>
        <w:t xml:space="preserve"> و </w:t>
      </w:r>
      <w:r w:rsidRPr="000E750F">
        <w:rPr>
          <w:rFonts w:asciiTheme="majorBidi" w:hAnsiTheme="majorBidi"/>
          <w:szCs w:val="24"/>
          <w:lang w:bidi="fa-IR"/>
        </w:rPr>
        <w:t>METS-VF</w:t>
      </w:r>
      <w:r w:rsidRPr="000E750F">
        <w:rPr>
          <w:rFonts w:asciiTheme="majorBidi" w:hAnsiTheme="majorBidi" w:hint="cs"/>
          <w:szCs w:val="24"/>
          <w:rtl/>
          <w:lang w:bidi="fa-IR"/>
        </w:rPr>
        <w:t xml:space="preserve"> </w:t>
      </w:r>
      <w:r w:rsidRPr="000E750F">
        <w:rPr>
          <w:rFonts w:asciiTheme="majorBidi" w:hAnsiTheme="majorBidi"/>
          <w:szCs w:val="24"/>
          <w:lang w:bidi="fa-IR"/>
        </w:rPr>
        <w:t xml:space="preserve">(OR = </w:t>
      </w:r>
      <w:r>
        <w:rPr>
          <w:rFonts w:asciiTheme="majorBidi" w:hAnsiTheme="majorBidi"/>
          <w:szCs w:val="24"/>
          <w:lang w:bidi="fa-IR"/>
        </w:rPr>
        <w:t>4.55</w:t>
      </w:r>
      <w:r w:rsidRPr="000E750F">
        <w:rPr>
          <w:rFonts w:asciiTheme="majorBidi" w:hAnsiTheme="majorBidi"/>
          <w:szCs w:val="24"/>
          <w:lang w:bidi="fa-IR"/>
        </w:rPr>
        <w:t xml:space="preserve">, 95% CI: </w:t>
      </w:r>
      <w:r>
        <w:rPr>
          <w:rFonts w:asciiTheme="majorBidi" w:hAnsiTheme="majorBidi"/>
          <w:szCs w:val="24"/>
          <w:lang w:bidi="fa-IR"/>
        </w:rPr>
        <w:t>1.46</w:t>
      </w:r>
      <w:r w:rsidRPr="000E750F">
        <w:rPr>
          <w:rFonts w:asciiTheme="majorBidi" w:hAnsiTheme="majorBidi"/>
          <w:szCs w:val="24"/>
          <w:lang w:bidi="fa-IR"/>
        </w:rPr>
        <w:t>-</w:t>
      </w:r>
      <w:r>
        <w:rPr>
          <w:rFonts w:asciiTheme="majorBidi" w:hAnsiTheme="majorBidi"/>
          <w:szCs w:val="24"/>
          <w:lang w:bidi="fa-IR"/>
        </w:rPr>
        <w:t>14.2</w:t>
      </w:r>
      <w:r w:rsidRPr="000E750F">
        <w:rPr>
          <w:rFonts w:asciiTheme="majorBidi" w:hAnsiTheme="majorBidi"/>
          <w:szCs w:val="24"/>
          <w:lang w:bidi="fa-IR"/>
        </w:rPr>
        <w:t>, P = 0.00</w:t>
      </w:r>
      <w:r>
        <w:rPr>
          <w:rFonts w:asciiTheme="majorBidi" w:hAnsiTheme="majorBidi"/>
          <w:szCs w:val="24"/>
          <w:lang w:bidi="fa-IR"/>
        </w:rPr>
        <w:t>7</w:t>
      </w:r>
      <w:r w:rsidRPr="000E750F">
        <w:rPr>
          <w:rFonts w:asciiTheme="majorBidi" w:hAnsiTheme="majorBidi"/>
          <w:szCs w:val="24"/>
          <w:lang w:bidi="fa-IR"/>
        </w:rPr>
        <w:t>)</w:t>
      </w:r>
      <w:r w:rsidRPr="000E750F">
        <w:rPr>
          <w:rFonts w:asciiTheme="majorBidi" w:hAnsiTheme="majorBidi" w:hint="cs"/>
          <w:szCs w:val="24"/>
          <w:rtl/>
          <w:lang w:bidi="fa-IR"/>
        </w:rPr>
        <w:t xml:space="preserve"> </w:t>
      </w:r>
      <w:r w:rsidRPr="00CF75ED">
        <w:rPr>
          <w:rFonts w:asciiTheme="majorBidi" w:hAnsiTheme="majorBidi" w:hint="cs"/>
          <w:sz w:val="28"/>
          <w:rtl/>
          <w:lang w:bidi="fa-IR"/>
        </w:rPr>
        <w:t xml:space="preserve">و هم چنین سایر شاخص ها مانند </w:t>
      </w:r>
      <w:r w:rsidRPr="000E750F">
        <w:rPr>
          <w:rFonts w:asciiTheme="majorBidi" w:hAnsiTheme="majorBidi" w:hint="cs"/>
          <w:szCs w:val="24"/>
          <w:rtl/>
          <w:lang w:bidi="fa-IR"/>
        </w:rPr>
        <w:t>(</w:t>
      </w:r>
      <w:r w:rsidRPr="000E750F">
        <w:rPr>
          <w:rFonts w:asciiTheme="majorBidi" w:hAnsiTheme="majorBidi"/>
          <w:szCs w:val="24"/>
          <w:lang w:bidi="fa-IR"/>
        </w:rPr>
        <w:t>WC</w:t>
      </w:r>
      <w:r w:rsidRPr="000E750F">
        <w:rPr>
          <w:rFonts w:asciiTheme="majorBidi" w:hAnsiTheme="majorBidi" w:hint="cs"/>
          <w:szCs w:val="24"/>
          <w:rtl/>
          <w:lang w:bidi="fa-IR"/>
        </w:rPr>
        <w:t xml:space="preserve">، </w:t>
      </w:r>
      <w:r w:rsidRPr="000E750F">
        <w:rPr>
          <w:rFonts w:asciiTheme="majorBidi" w:hAnsiTheme="majorBidi"/>
          <w:szCs w:val="24"/>
          <w:lang w:bidi="fa-IR"/>
        </w:rPr>
        <w:t>WHR</w:t>
      </w:r>
      <w:r w:rsidRPr="000E750F">
        <w:rPr>
          <w:rFonts w:asciiTheme="majorBidi" w:hAnsiTheme="majorBidi" w:hint="cs"/>
          <w:szCs w:val="24"/>
          <w:rtl/>
          <w:lang w:bidi="fa-IR"/>
        </w:rPr>
        <w:t xml:space="preserve"> و </w:t>
      </w:r>
      <w:r w:rsidRPr="000E750F">
        <w:rPr>
          <w:rFonts w:asciiTheme="majorBidi" w:hAnsiTheme="majorBidi"/>
          <w:szCs w:val="24"/>
          <w:lang w:bidi="fa-IR"/>
        </w:rPr>
        <w:t>WHtR</w:t>
      </w:r>
      <w:r w:rsidRPr="000E750F">
        <w:rPr>
          <w:rFonts w:asciiTheme="majorBidi" w:hAnsiTheme="majorBidi" w:hint="cs"/>
          <w:szCs w:val="24"/>
          <w:rtl/>
          <w:lang w:bidi="fa-IR"/>
        </w:rPr>
        <w:t xml:space="preserve">) </w:t>
      </w:r>
      <w:r w:rsidRPr="00CF75ED">
        <w:rPr>
          <w:rFonts w:asciiTheme="majorBidi" w:hAnsiTheme="majorBidi" w:hint="cs"/>
          <w:sz w:val="28"/>
          <w:rtl/>
          <w:lang w:bidi="fa-IR"/>
        </w:rPr>
        <w:t xml:space="preserve">و پیشرفت کبد چرب یافت شد و قوی ترین ارتباط با پیشرفت کبد چرب مربوط به شاخص </w:t>
      </w:r>
      <w:r w:rsidRPr="000E750F">
        <w:rPr>
          <w:rFonts w:asciiTheme="majorBidi" w:hAnsiTheme="majorBidi"/>
          <w:szCs w:val="24"/>
          <w:lang w:bidi="fa-IR"/>
        </w:rPr>
        <w:t>WHtR</w:t>
      </w:r>
      <w:r w:rsidRPr="000E750F">
        <w:rPr>
          <w:rFonts w:asciiTheme="majorBidi" w:hAnsiTheme="majorBidi" w:hint="cs"/>
          <w:szCs w:val="24"/>
          <w:rtl/>
          <w:lang w:bidi="fa-IR"/>
        </w:rPr>
        <w:t xml:space="preserve"> </w:t>
      </w:r>
      <w:r w:rsidRPr="000E750F">
        <w:rPr>
          <w:rFonts w:asciiTheme="majorBidi" w:hAnsiTheme="majorBidi"/>
          <w:szCs w:val="24"/>
          <w:lang w:bidi="fa-IR"/>
        </w:rPr>
        <w:t xml:space="preserve">(OR = </w:t>
      </w:r>
      <w:r>
        <w:rPr>
          <w:rFonts w:asciiTheme="majorBidi" w:hAnsiTheme="majorBidi"/>
          <w:szCs w:val="24"/>
          <w:lang w:bidi="fa-IR"/>
        </w:rPr>
        <w:t>13.1</w:t>
      </w:r>
      <w:r w:rsidRPr="000E750F">
        <w:rPr>
          <w:rFonts w:asciiTheme="majorBidi" w:hAnsiTheme="majorBidi"/>
          <w:szCs w:val="24"/>
          <w:lang w:bidi="fa-IR"/>
        </w:rPr>
        <w:t xml:space="preserve">, 95% CI: </w:t>
      </w:r>
      <w:r>
        <w:rPr>
          <w:rFonts w:asciiTheme="majorBidi" w:hAnsiTheme="majorBidi"/>
          <w:szCs w:val="24"/>
          <w:lang w:bidi="fa-IR"/>
        </w:rPr>
        <w:t>2.68</w:t>
      </w:r>
      <w:r w:rsidRPr="000E750F">
        <w:rPr>
          <w:rFonts w:asciiTheme="majorBidi" w:hAnsiTheme="majorBidi"/>
          <w:szCs w:val="24"/>
          <w:lang w:bidi="fa-IR"/>
        </w:rPr>
        <w:t>-</w:t>
      </w:r>
      <w:r>
        <w:rPr>
          <w:rFonts w:asciiTheme="majorBidi" w:hAnsiTheme="majorBidi"/>
          <w:szCs w:val="24"/>
          <w:lang w:bidi="fa-IR"/>
        </w:rPr>
        <w:t>63.99</w:t>
      </w:r>
      <w:r w:rsidRPr="000E750F">
        <w:rPr>
          <w:rFonts w:asciiTheme="majorBidi" w:hAnsiTheme="majorBidi"/>
          <w:szCs w:val="24"/>
          <w:lang w:bidi="fa-IR"/>
        </w:rPr>
        <w:t>, P = 0.00</w:t>
      </w:r>
      <w:r>
        <w:rPr>
          <w:rFonts w:asciiTheme="majorBidi" w:hAnsiTheme="majorBidi"/>
          <w:szCs w:val="24"/>
          <w:lang w:bidi="fa-IR"/>
        </w:rPr>
        <w:t>1</w:t>
      </w:r>
      <w:r w:rsidRPr="000E750F">
        <w:rPr>
          <w:rFonts w:asciiTheme="majorBidi" w:hAnsiTheme="majorBidi"/>
          <w:szCs w:val="24"/>
          <w:lang w:bidi="fa-IR"/>
        </w:rPr>
        <w:t>)</w:t>
      </w:r>
      <w:r w:rsidRPr="00CF75ED">
        <w:rPr>
          <w:rFonts w:asciiTheme="majorBidi" w:hAnsiTheme="majorBidi" w:hint="cs"/>
          <w:sz w:val="28"/>
          <w:rtl/>
          <w:lang w:bidi="fa-IR"/>
        </w:rPr>
        <w:t xml:space="preserve"> مشاهده شد، لذا بنظر می رسد این شاخص کارآمدترین روش ارزیابی چاقی شکمی به عنوان ریسک فاکتور برای پیشرفت کبد چرب باشد. </w:t>
      </w:r>
    </w:p>
    <w:p w14:paraId="0D83D620" w14:textId="77777777" w:rsidR="00B62EA1" w:rsidRPr="00CF75ED" w:rsidRDefault="00B62EA1" w:rsidP="00B62EA1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/>
          <w:sz w:val="28"/>
          <w:rtl/>
          <w:lang w:bidi="fa-IR"/>
        </w:rPr>
      </w:pPr>
      <w:r w:rsidRPr="00671A29">
        <w:rPr>
          <w:rFonts w:asciiTheme="majorBidi" w:hAnsiTheme="majorBidi"/>
          <w:b/>
          <w:bCs/>
          <w:i/>
          <w:iCs/>
          <w:sz w:val="28"/>
          <w:rtl/>
        </w:rPr>
        <w:t>نتیجه گیری:</w:t>
      </w:r>
      <w:r w:rsidRPr="00CF75ED">
        <w:rPr>
          <w:rFonts w:asciiTheme="majorBidi" w:hAnsiTheme="majorBidi"/>
          <w:sz w:val="28"/>
          <w:rtl/>
        </w:rPr>
        <w:t xml:space="preserve"> </w:t>
      </w:r>
      <w:r w:rsidRPr="00CF75ED">
        <w:rPr>
          <w:rFonts w:asciiTheme="majorBidi" w:hAnsiTheme="majorBidi" w:hint="cs"/>
          <w:sz w:val="28"/>
          <w:rtl/>
          <w:lang w:bidi="fa-IR"/>
        </w:rPr>
        <w:t xml:space="preserve">یافته های این مطالعه نشان دهنده ارتباط دو شاخص تغذیه ای </w:t>
      </w:r>
      <w:r w:rsidRPr="000E750F">
        <w:rPr>
          <w:rFonts w:asciiTheme="majorBidi" w:hAnsiTheme="majorBidi"/>
          <w:szCs w:val="24"/>
          <w:lang w:bidi="fa-IR"/>
        </w:rPr>
        <w:t>DII</w:t>
      </w:r>
      <w:r w:rsidRPr="000E750F">
        <w:rPr>
          <w:rFonts w:asciiTheme="majorBidi" w:hAnsiTheme="majorBidi" w:hint="cs"/>
          <w:szCs w:val="24"/>
          <w:rtl/>
          <w:lang w:bidi="fa-IR"/>
        </w:rPr>
        <w:t xml:space="preserve"> و </w:t>
      </w:r>
      <w:r w:rsidRPr="000E750F">
        <w:rPr>
          <w:rFonts w:asciiTheme="majorBidi" w:hAnsiTheme="majorBidi"/>
          <w:szCs w:val="24"/>
          <w:lang w:bidi="fa-IR"/>
        </w:rPr>
        <w:t>DPI</w:t>
      </w:r>
      <w:r w:rsidRPr="000E750F">
        <w:rPr>
          <w:rFonts w:asciiTheme="majorBidi" w:hAnsiTheme="majorBidi" w:hint="cs"/>
          <w:szCs w:val="24"/>
          <w:rtl/>
          <w:lang w:bidi="fa-IR"/>
        </w:rPr>
        <w:t xml:space="preserve"> </w:t>
      </w:r>
      <w:r w:rsidRPr="00CF75ED">
        <w:rPr>
          <w:rFonts w:asciiTheme="majorBidi" w:hAnsiTheme="majorBidi" w:hint="cs"/>
          <w:sz w:val="28"/>
          <w:rtl/>
          <w:lang w:bidi="fa-IR"/>
        </w:rPr>
        <w:t xml:space="preserve">با پیشرفت کبد چرب می باشد که عوامل فیتوکمیکالی رژیم غذایی دارای اثرات محافظتی بر پیشرفت </w:t>
      </w:r>
      <w:r w:rsidRPr="000E750F">
        <w:rPr>
          <w:rFonts w:asciiTheme="majorBidi" w:hAnsiTheme="majorBidi"/>
          <w:szCs w:val="24"/>
          <w:lang w:bidi="fa-IR"/>
        </w:rPr>
        <w:t>NAFLD</w:t>
      </w:r>
      <w:r w:rsidRPr="00CF75ED">
        <w:rPr>
          <w:rFonts w:asciiTheme="majorBidi" w:hAnsiTheme="majorBidi" w:hint="cs"/>
          <w:sz w:val="28"/>
          <w:rtl/>
          <w:lang w:bidi="fa-IR"/>
        </w:rPr>
        <w:t xml:space="preserve"> و بار التهابی بیشتر در رژیم غذایی افزایش دهنده خطر پیشرفت می باشد. هم چنین عوامل تن سنجی </w:t>
      </w:r>
      <w:r w:rsidRPr="000E750F">
        <w:rPr>
          <w:rFonts w:asciiTheme="majorBidi" w:hAnsiTheme="majorBidi"/>
          <w:szCs w:val="24"/>
          <w:lang w:bidi="fa-IR"/>
        </w:rPr>
        <w:t>METS-VF</w:t>
      </w:r>
      <w:r w:rsidRPr="000E750F">
        <w:rPr>
          <w:rFonts w:asciiTheme="majorBidi" w:hAnsiTheme="majorBidi" w:hint="cs"/>
          <w:szCs w:val="24"/>
          <w:rtl/>
          <w:lang w:bidi="fa-IR"/>
        </w:rPr>
        <w:t xml:space="preserve"> و </w:t>
      </w:r>
      <w:r w:rsidRPr="000E750F">
        <w:rPr>
          <w:rFonts w:asciiTheme="majorBidi" w:hAnsiTheme="majorBidi"/>
          <w:szCs w:val="24"/>
          <w:lang w:bidi="fa-IR"/>
        </w:rPr>
        <w:t>TLR</w:t>
      </w:r>
      <w:r w:rsidRPr="000E750F">
        <w:rPr>
          <w:rFonts w:asciiTheme="majorBidi" w:hAnsiTheme="majorBidi" w:hint="cs"/>
          <w:szCs w:val="24"/>
          <w:rtl/>
          <w:lang w:bidi="fa-IR"/>
        </w:rPr>
        <w:t xml:space="preserve"> </w:t>
      </w:r>
      <w:r w:rsidRPr="00CF75ED">
        <w:rPr>
          <w:rFonts w:asciiTheme="majorBidi" w:hAnsiTheme="majorBidi" w:hint="cs"/>
          <w:sz w:val="28"/>
          <w:rtl/>
          <w:lang w:bidi="fa-IR"/>
        </w:rPr>
        <w:t xml:space="preserve">به عنوان دو شاخص جدید اندازه گیری چاقی شکمی که عامل خطری برای پیشرفت </w:t>
      </w:r>
      <w:r w:rsidRPr="00CF75ED">
        <w:rPr>
          <w:rFonts w:asciiTheme="majorBidi" w:hAnsiTheme="majorBidi"/>
          <w:sz w:val="28"/>
          <w:lang w:bidi="fa-IR"/>
        </w:rPr>
        <w:t>NAFLD</w:t>
      </w:r>
      <w:r w:rsidRPr="00CF75ED">
        <w:rPr>
          <w:rFonts w:asciiTheme="majorBidi" w:hAnsiTheme="majorBidi" w:hint="cs"/>
          <w:sz w:val="28"/>
          <w:rtl/>
          <w:lang w:bidi="fa-IR"/>
        </w:rPr>
        <w:t xml:space="preserve"> می باشد، معرفی شدند. </w:t>
      </w:r>
    </w:p>
    <w:p w14:paraId="15BA3696" w14:textId="77777777" w:rsidR="00B62EA1" w:rsidRPr="00CF75ED" w:rsidRDefault="00B62EA1" w:rsidP="00B62EA1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/>
          <w:sz w:val="28"/>
          <w:rtl/>
          <w:lang w:bidi="fa-IR"/>
        </w:rPr>
      </w:pPr>
    </w:p>
    <w:p w14:paraId="65B78FCA" w14:textId="5D5F5761" w:rsidR="00B62EA1" w:rsidRDefault="00B62EA1"/>
    <w:sectPr w:rsidR="00B62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A1"/>
    <w:rsid w:val="000C30FF"/>
    <w:rsid w:val="00232D32"/>
    <w:rsid w:val="00B6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7F288"/>
  <w15:chartTrackingRefBased/>
  <w15:docId w15:val="{B1969FFF-6CFA-4BD7-940A-45B5650C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EA1"/>
    <w:pPr>
      <w:spacing w:after="0" w:line="240" w:lineRule="atLeast"/>
    </w:pPr>
    <w:rPr>
      <w:rFonts w:ascii="Times New Roman" w:hAnsi="Times New Roman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</dc:creator>
  <cp:keywords/>
  <dc:description/>
  <cp:lastModifiedBy>Samira</cp:lastModifiedBy>
  <cp:revision>1</cp:revision>
  <dcterms:created xsi:type="dcterms:W3CDTF">2022-11-17T13:36:00Z</dcterms:created>
  <dcterms:modified xsi:type="dcterms:W3CDTF">2022-11-17T14:04:00Z</dcterms:modified>
</cp:coreProperties>
</file>